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342173DE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Comissão de Processo Administrativo Disciplinar nº</w:t>
      </w:r>
      <w:r w:rsidR="001C1D5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43243E">
        <w:rPr>
          <w:rFonts w:ascii="Carlito" w:eastAsia="Carlito" w:hAnsi="Carlito" w:cs="Carlito"/>
          <w:highlight w:val="yellow"/>
        </w:rPr>
        <w:t>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5805F45E" w14:textId="3B78DA10" w:rsidR="00F5505E" w:rsidRDefault="009E717A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9E717A">
        <w:rPr>
          <w:rFonts w:ascii="Carlito" w:eastAsia="Carlito" w:hAnsi="Carlito" w:cs="Carlito"/>
          <w:b/>
          <w:bCs/>
        </w:rPr>
        <w:t xml:space="preserve">TERMO DE </w:t>
      </w:r>
      <w:r w:rsidR="00F87916">
        <w:rPr>
          <w:rFonts w:ascii="Carlito" w:eastAsia="Carlito" w:hAnsi="Carlito" w:cs="Carlito"/>
          <w:b/>
          <w:bCs/>
        </w:rPr>
        <w:t>INDICIAÇÃO</w:t>
      </w:r>
    </w:p>
    <w:p w14:paraId="5847A4D3" w14:textId="77777777" w:rsidR="009E717A" w:rsidRDefault="009E717A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15A74BBA" w14:textId="21E4DEA5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A Comissão de Processo Administrativo Disciplinar designada pela Portaria nº </w:t>
      </w:r>
      <w:r w:rsidRPr="00F87916">
        <w:rPr>
          <w:rFonts w:ascii="Carlito" w:eastAsia="Carlito" w:hAnsi="Carlito" w:cs="Carlito"/>
          <w:highlight w:val="yellow"/>
        </w:rPr>
        <w:t>______</w:t>
      </w:r>
      <w:r w:rsidRPr="00F87916">
        <w:rPr>
          <w:rFonts w:ascii="Carlito" w:eastAsia="Carlito" w:hAnsi="Carlito" w:cs="Carlito"/>
        </w:rPr>
        <w:t>, publicada no Boletim Oficial da UFSC, constituída para apurar irregularidades constantes do Processo nº</w:t>
      </w:r>
      <w:r>
        <w:rPr>
          <w:rFonts w:ascii="Carlito" w:eastAsia="Carlito" w:hAnsi="Carlito" w:cs="Carlito"/>
        </w:rPr>
        <w:t xml:space="preserve"> </w:t>
      </w:r>
      <w:r w:rsidRPr="00F87916">
        <w:rPr>
          <w:rFonts w:ascii="Carlito" w:eastAsia="Carlito" w:hAnsi="Carlito" w:cs="Carlito"/>
          <w:highlight w:val="yellow"/>
        </w:rPr>
        <w:t>23080.XXXXXX/20XX-XX</w:t>
      </w:r>
      <w:r w:rsidRPr="00F87916">
        <w:rPr>
          <w:rFonts w:ascii="Carlito" w:eastAsia="Carlito" w:hAnsi="Carlito" w:cs="Carlito"/>
        </w:rPr>
        <w:t xml:space="preserve"> e fatos conexos, após ultimar a coleta de provas, interrogatório do acusado e depoimento de testemunhas, instrumentos hábeis à formação de seu convencimento, decide por INDICIAR o(s) servidor (es):</w:t>
      </w:r>
    </w:p>
    <w:p w14:paraId="4E10DA4A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1) </w:t>
      </w:r>
      <w:r w:rsidRPr="00F87916">
        <w:rPr>
          <w:rFonts w:ascii="Carlito" w:eastAsia="Carlito" w:hAnsi="Carlito" w:cs="Carlito"/>
          <w:highlight w:val="yellow"/>
        </w:rPr>
        <w:t>______________________, (CPF e/ou matrícula)</w:t>
      </w:r>
      <w:r w:rsidRPr="00F87916">
        <w:rPr>
          <w:rFonts w:ascii="Carlito" w:eastAsia="Carlito" w:hAnsi="Carlito" w:cs="Carlito"/>
        </w:rPr>
        <w:t>, conforme a(s) irregularidade (s), o conjunto probatório, ato(s) e fato(s) a seguir elencados:</w:t>
      </w:r>
    </w:p>
    <w:p w14:paraId="779319CD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6151D444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F87916">
        <w:rPr>
          <w:rFonts w:ascii="Carlito" w:eastAsia="Carlito" w:hAnsi="Carlito" w:cs="Carlito"/>
        </w:rPr>
        <w:t xml:space="preserve">a) IRREGULARIDADE 01: </w:t>
      </w:r>
      <w:r w:rsidRPr="0043243E">
        <w:rPr>
          <w:rFonts w:ascii="Carlito" w:eastAsia="Carlito" w:hAnsi="Carlito" w:cs="Carlito"/>
          <w:highlight w:val="yellow"/>
        </w:rPr>
        <w:t xml:space="preserve">(descrever a irregularidade praticada, conforme os tipos previstos na Lei nº 8.112/90 ou outras normas existentes): </w:t>
      </w:r>
    </w:p>
    <w:p w14:paraId="1B492C37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</w:p>
    <w:p w14:paraId="613208F4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43243E">
        <w:rPr>
          <w:rFonts w:ascii="Carlito" w:eastAsia="Carlito" w:hAnsi="Carlito" w:cs="Carlito"/>
          <w:highlight w:val="yellow"/>
        </w:rPr>
        <w:t>•</w:t>
      </w:r>
      <w:r w:rsidRPr="0043243E">
        <w:rPr>
          <w:rFonts w:ascii="Carlito" w:eastAsia="Carlito" w:hAnsi="Carlito" w:cs="Carlito"/>
          <w:highlight w:val="yellow"/>
        </w:rPr>
        <w:tab/>
        <w:t xml:space="preserve">Especificar as provas que levaram ao convencimento do colegiado </w:t>
      </w:r>
    </w:p>
    <w:p w14:paraId="578E63B6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43243E">
        <w:rPr>
          <w:rFonts w:ascii="Carlito" w:eastAsia="Carlito" w:hAnsi="Carlito" w:cs="Carlito"/>
          <w:highlight w:val="yellow"/>
        </w:rPr>
        <w:t>•</w:t>
      </w:r>
      <w:r w:rsidRPr="0043243E">
        <w:rPr>
          <w:rFonts w:ascii="Carlito" w:eastAsia="Carlito" w:hAnsi="Carlito" w:cs="Carlito"/>
          <w:highlight w:val="yellow"/>
        </w:rPr>
        <w:tab/>
        <w:t>O nexo causal entre essas provas e a irregularidade praticada</w:t>
      </w:r>
      <w:r w:rsidRPr="00F87916">
        <w:rPr>
          <w:rFonts w:ascii="Carlito" w:eastAsia="Carlito" w:hAnsi="Carlito" w:cs="Carlito"/>
        </w:rPr>
        <w:t xml:space="preserve">  </w:t>
      </w:r>
    </w:p>
    <w:p w14:paraId="0C942C9D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2B80414D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Pelo exposto, presentes a materialidade, a antijuridicidade, a conduta reprovável e a culpabilidade do servidor </w:t>
      </w:r>
      <w:r w:rsidRPr="0043243E">
        <w:rPr>
          <w:rFonts w:ascii="Carlito" w:eastAsia="Carlito" w:hAnsi="Carlito" w:cs="Carlito"/>
          <w:highlight w:val="yellow"/>
        </w:rPr>
        <w:t>________</w:t>
      </w:r>
      <w:r w:rsidRPr="00F87916">
        <w:rPr>
          <w:rFonts w:ascii="Carlito" w:eastAsia="Carlito" w:hAnsi="Carlito" w:cs="Carlito"/>
        </w:rPr>
        <w:t xml:space="preserve">, esta comissão o indicia pelo cometimento da infração capitulada no (s) art.(s) </w:t>
      </w:r>
      <w:r w:rsidRPr="0043243E">
        <w:rPr>
          <w:rFonts w:ascii="Carlito" w:eastAsia="Carlito" w:hAnsi="Carlito" w:cs="Carlito"/>
          <w:highlight w:val="yellow"/>
        </w:rPr>
        <w:t>_____, _____ e _____</w:t>
      </w:r>
      <w:r w:rsidRPr="00F87916">
        <w:rPr>
          <w:rFonts w:ascii="Carlito" w:eastAsia="Carlito" w:hAnsi="Carlito" w:cs="Carlito"/>
        </w:rPr>
        <w:t xml:space="preserve"> da Lei nº 8.112, de 1990. </w:t>
      </w:r>
    </w:p>
    <w:p w14:paraId="7255FEA3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6816A0FC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F87916">
        <w:rPr>
          <w:rFonts w:ascii="Carlito" w:eastAsia="Carlito" w:hAnsi="Carlito" w:cs="Carlito"/>
        </w:rPr>
        <w:t xml:space="preserve">b) IRREGULARIDADE 02: </w:t>
      </w:r>
      <w:r w:rsidRPr="0043243E">
        <w:rPr>
          <w:rFonts w:ascii="Carlito" w:eastAsia="Carlito" w:hAnsi="Carlito" w:cs="Carlito"/>
          <w:highlight w:val="yellow"/>
        </w:rPr>
        <w:t xml:space="preserve">(descrever a irregularidade praticada, conforme os tipos previstos na Lei nº 8.112/90 ou outras normas existentes): </w:t>
      </w:r>
    </w:p>
    <w:p w14:paraId="472AC16F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</w:p>
    <w:p w14:paraId="4E4B89A7" w14:textId="77777777" w:rsidR="00F87916" w:rsidRPr="0043243E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43243E">
        <w:rPr>
          <w:rFonts w:ascii="Carlito" w:eastAsia="Carlito" w:hAnsi="Carlito" w:cs="Carlito"/>
          <w:highlight w:val="yellow"/>
        </w:rPr>
        <w:t>•</w:t>
      </w:r>
      <w:r w:rsidRPr="0043243E">
        <w:rPr>
          <w:rFonts w:ascii="Carlito" w:eastAsia="Carlito" w:hAnsi="Carlito" w:cs="Carlito"/>
          <w:highlight w:val="yellow"/>
        </w:rPr>
        <w:tab/>
        <w:t xml:space="preserve">Especificar as provas que levaram ao convencimento do colegiado </w:t>
      </w:r>
    </w:p>
    <w:p w14:paraId="42ECACB3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43243E">
        <w:rPr>
          <w:rFonts w:ascii="Carlito" w:eastAsia="Carlito" w:hAnsi="Carlito" w:cs="Carlito"/>
          <w:highlight w:val="yellow"/>
        </w:rPr>
        <w:t>•</w:t>
      </w:r>
      <w:r w:rsidRPr="0043243E">
        <w:rPr>
          <w:rFonts w:ascii="Carlito" w:eastAsia="Carlito" w:hAnsi="Carlito" w:cs="Carlito"/>
          <w:highlight w:val="yellow"/>
        </w:rPr>
        <w:tab/>
        <w:t>O nexo causal entre essas provas e a irregularidade praticada</w:t>
      </w:r>
      <w:r w:rsidRPr="00F87916">
        <w:rPr>
          <w:rFonts w:ascii="Carlito" w:eastAsia="Carlito" w:hAnsi="Carlito" w:cs="Carlito"/>
        </w:rPr>
        <w:t xml:space="preserve">  </w:t>
      </w:r>
    </w:p>
    <w:p w14:paraId="0CAA317D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78392F72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Pelo exposto, presentes a materialidade, a antijuridicidade, a conduta reprovável e a culpabilidade do servidor </w:t>
      </w:r>
      <w:r w:rsidRPr="0043243E">
        <w:rPr>
          <w:rFonts w:ascii="Carlito" w:eastAsia="Carlito" w:hAnsi="Carlito" w:cs="Carlito"/>
          <w:highlight w:val="yellow"/>
        </w:rPr>
        <w:t>________</w:t>
      </w:r>
      <w:r w:rsidRPr="00F87916">
        <w:rPr>
          <w:rFonts w:ascii="Carlito" w:eastAsia="Carlito" w:hAnsi="Carlito" w:cs="Carlito"/>
        </w:rPr>
        <w:t xml:space="preserve">, esta comissão o indicia pelo cometimento da infração capitulada no (s) art.(s) </w:t>
      </w:r>
      <w:r w:rsidRPr="0043243E">
        <w:rPr>
          <w:rFonts w:ascii="Carlito" w:eastAsia="Carlito" w:hAnsi="Carlito" w:cs="Carlito"/>
          <w:highlight w:val="yellow"/>
        </w:rPr>
        <w:t>_____, _____ e _____</w:t>
      </w:r>
      <w:r w:rsidRPr="00F87916">
        <w:rPr>
          <w:rFonts w:ascii="Carlito" w:eastAsia="Carlito" w:hAnsi="Carlito" w:cs="Carlito"/>
        </w:rPr>
        <w:t xml:space="preserve"> da Lei nº 8.112, de 1990. </w:t>
      </w:r>
    </w:p>
    <w:p w14:paraId="44DE1A9B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17AF7F42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c) IRREGULARIDADE 03: </w:t>
      </w:r>
    </w:p>
    <w:p w14:paraId="42B1BD60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37BAE0C5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43243E">
        <w:rPr>
          <w:rFonts w:ascii="Carlito" w:eastAsia="Carlito" w:hAnsi="Carlito" w:cs="Carlito"/>
          <w:highlight w:val="yellow"/>
        </w:rPr>
        <w:t>(...)</w:t>
      </w:r>
      <w:r w:rsidRPr="00F87916">
        <w:rPr>
          <w:rFonts w:ascii="Carlito" w:eastAsia="Carlito" w:hAnsi="Carlito" w:cs="Carlito"/>
        </w:rPr>
        <w:t xml:space="preserve"> </w:t>
      </w:r>
    </w:p>
    <w:p w14:paraId="174DB7B1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1B8CB7C7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007302CC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 xml:space="preserve">Assim, feita a análise do conjunto probatório, dos atos praticados e suas consequentes subsunções aos teores das normas reputadas por violadas, os autos em condições de obter vista do indiciado, que deverá ser imediatamente citado para apresentar defesa no prazo de </w:t>
      </w:r>
      <w:r w:rsidRPr="0043243E">
        <w:rPr>
          <w:rFonts w:ascii="Carlito" w:eastAsia="Carlito" w:hAnsi="Carlito" w:cs="Carlito"/>
          <w:highlight w:val="yellow"/>
        </w:rPr>
        <w:t>___</w:t>
      </w:r>
      <w:r w:rsidRPr="00F87916">
        <w:rPr>
          <w:rFonts w:ascii="Carlito" w:eastAsia="Carlito" w:hAnsi="Carlito" w:cs="Carlito"/>
        </w:rPr>
        <w:t xml:space="preserve"> dias </w:t>
      </w:r>
      <w:r w:rsidRPr="0043243E">
        <w:rPr>
          <w:rFonts w:ascii="Carlito" w:eastAsia="Carlito" w:hAnsi="Carlito" w:cs="Carlito"/>
          <w:highlight w:val="yellow"/>
        </w:rPr>
        <w:t>(especificar se em dez dias, caso de apenas um indiciado, ou vinte dias, caso de mais de um indiciado)</w:t>
      </w:r>
      <w:r w:rsidRPr="00F87916">
        <w:rPr>
          <w:rFonts w:ascii="Carlito" w:eastAsia="Carlito" w:hAnsi="Carlito" w:cs="Carlito"/>
        </w:rPr>
        <w:t xml:space="preserve">, na forma do art. 161 da Lei nº 8.112, de 1990. </w:t>
      </w:r>
    </w:p>
    <w:p w14:paraId="573EF3BF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2519C39A" w14:textId="77777777" w:rsidR="00F87916" w:rsidRPr="00F87916" w:rsidRDefault="00F87916" w:rsidP="00F87916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6871A862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6B55B5B4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_______________________________________________</w:t>
      </w:r>
    </w:p>
    <w:p w14:paraId="5228AF21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(nome e assinatura do presidente da comissão)</w:t>
      </w:r>
    </w:p>
    <w:p w14:paraId="7DD35ED3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Presidente da comissão</w:t>
      </w:r>
    </w:p>
    <w:p w14:paraId="30E9BCB0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11F8857B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0625757C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6618D98E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_______________________________________________</w:t>
      </w:r>
    </w:p>
    <w:p w14:paraId="625F0FAD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(nome e assinatura do membro da comissão)</w:t>
      </w:r>
    </w:p>
    <w:p w14:paraId="73E939AF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Membro da comissão</w:t>
      </w:r>
    </w:p>
    <w:p w14:paraId="5556E69C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01D9C837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1AE29BC8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</w:p>
    <w:p w14:paraId="027F0B2C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_______________________________________________</w:t>
      </w:r>
    </w:p>
    <w:p w14:paraId="5EDC5459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(nome e assinatura do membro da comissão)</w:t>
      </w:r>
    </w:p>
    <w:p w14:paraId="459CD178" w14:textId="77777777" w:rsidR="00F87916" w:rsidRPr="00F87916" w:rsidRDefault="00F87916" w:rsidP="0043243E">
      <w:pPr>
        <w:spacing w:line="240" w:lineRule="auto"/>
        <w:ind w:leftChars="0" w:left="0" w:firstLineChars="0" w:firstLine="720"/>
        <w:jc w:val="center"/>
        <w:rPr>
          <w:rFonts w:ascii="Carlito" w:eastAsia="Carlito" w:hAnsi="Carlito" w:cs="Carlito"/>
        </w:rPr>
      </w:pPr>
      <w:r w:rsidRPr="00F87916">
        <w:rPr>
          <w:rFonts w:ascii="Carlito" w:eastAsia="Carlito" w:hAnsi="Carlito" w:cs="Carlito"/>
        </w:rPr>
        <w:t>Membro da comissão</w:t>
      </w:r>
    </w:p>
    <w:p w14:paraId="2C5C1800" w14:textId="1CA233BB" w:rsidR="00F5505E" w:rsidRPr="006E1ADC" w:rsidRDefault="00F5505E" w:rsidP="0043243E">
      <w:pPr>
        <w:spacing w:after="120" w:line="240" w:lineRule="auto"/>
        <w:ind w:leftChars="0" w:left="0" w:firstLineChars="0" w:firstLine="720"/>
        <w:jc w:val="center"/>
        <w:rPr>
          <w:rFonts w:ascii="Carlito" w:eastAsia="Carlito" w:hAnsi="Carlito" w:cs="Carlito"/>
          <w:color w:val="000000"/>
        </w:rPr>
      </w:pP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75E5" w14:textId="77777777" w:rsidR="00665AE0" w:rsidRDefault="00665AE0">
      <w:pPr>
        <w:spacing w:line="240" w:lineRule="auto"/>
        <w:ind w:left="0" w:hanging="2"/>
      </w:pPr>
      <w:r>
        <w:separator/>
      </w:r>
    </w:p>
  </w:endnote>
  <w:endnote w:type="continuationSeparator" w:id="0">
    <w:p w14:paraId="2CF25C33" w14:textId="77777777" w:rsidR="00665AE0" w:rsidRDefault="00665A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88CE" w14:textId="77777777" w:rsidR="00665AE0" w:rsidRDefault="00665AE0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4A809" w14:textId="77777777" w:rsidR="00665AE0" w:rsidRDefault="00665A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E43E8"/>
    <w:rsid w:val="001A4CF3"/>
    <w:rsid w:val="001C1D5C"/>
    <w:rsid w:val="00236DF4"/>
    <w:rsid w:val="0023706D"/>
    <w:rsid w:val="002705F0"/>
    <w:rsid w:val="00391361"/>
    <w:rsid w:val="0043243E"/>
    <w:rsid w:val="00507F9F"/>
    <w:rsid w:val="00596A6B"/>
    <w:rsid w:val="00665AE0"/>
    <w:rsid w:val="006E1ADC"/>
    <w:rsid w:val="007271F1"/>
    <w:rsid w:val="008D5B80"/>
    <w:rsid w:val="0097100B"/>
    <w:rsid w:val="009E717A"/>
    <w:rsid w:val="00B71844"/>
    <w:rsid w:val="00B929AF"/>
    <w:rsid w:val="00C0405B"/>
    <w:rsid w:val="00D47D8F"/>
    <w:rsid w:val="00DE02F4"/>
    <w:rsid w:val="00E30DA5"/>
    <w:rsid w:val="00F0119E"/>
    <w:rsid w:val="00F5505E"/>
    <w:rsid w:val="00F84AF6"/>
    <w:rsid w:val="00F8791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4</cp:revision>
  <dcterms:created xsi:type="dcterms:W3CDTF">2024-09-02T20:44:00Z</dcterms:created>
  <dcterms:modified xsi:type="dcterms:W3CDTF">2024-09-02T20:49:00Z</dcterms:modified>
</cp:coreProperties>
</file>